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380" w14:textId="737B5BAB" w:rsidR="00C15E9B" w:rsidRDefault="00C15E9B" w:rsidP="007404E1">
      <w:pPr>
        <w:pStyle w:val="KeinLeerraum"/>
        <w:rPr>
          <w:b/>
          <w:sz w:val="20"/>
          <w:szCs w:val="20"/>
        </w:rPr>
      </w:pPr>
    </w:p>
    <w:p w14:paraId="51CE93F3" w14:textId="3ACA9A0D" w:rsidR="007404E1" w:rsidRPr="0024725D" w:rsidRDefault="00FE4260" w:rsidP="007404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RayLine</w:t>
      </w:r>
      <w:r w:rsidR="007E6745" w:rsidRPr="0024725D">
        <w:rPr>
          <w:b/>
          <w:sz w:val="20"/>
          <w:szCs w:val="20"/>
        </w:rPr>
        <w:t xml:space="preserve"> </w:t>
      </w:r>
      <w:r w:rsidR="007368B8">
        <w:rPr>
          <w:b/>
          <w:sz w:val="20"/>
          <w:szCs w:val="20"/>
        </w:rPr>
        <w:t>Max</w:t>
      </w:r>
      <w:r w:rsidR="00110515">
        <w:rPr>
          <w:b/>
          <w:sz w:val="20"/>
          <w:szCs w:val="20"/>
        </w:rPr>
        <w:t xml:space="preserve"> </w:t>
      </w:r>
      <w:r w:rsidR="00FE7F83">
        <w:rPr>
          <w:b/>
          <w:sz w:val="20"/>
          <w:szCs w:val="20"/>
        </w:rPr>
        <w:t>V</w:t>
      </w:r>
      <w:r w:rsidR="00672EB9">
        <w:rPr>
          <w:b/>
          <w:sz w:val="20"/>
          <w:szCs w:val="20"/>
        </w:rPr>
        <w:t>3</w:t>
      </w:r>
    </w:p>
    <w:p w14:paraId="7D0EB1EE" w14:textId="77777777" w:rsidR="007404E1" w:rsidRPr="00C15E9B" w:rsidRDefault="007404E1" w:rsidP="007404E1">
      <w:pPr>
        <w:pStyle w:val="KeinLeerraum"/>
        <w:rPr>
          <w:sz w:val="18"/>
          <w:szCs w:val="18"/>
        </w:rPr>
      </w:pPr>
    </w:p>
    <w:p w14:paraId="0B12EFB6" w14:textId="260A259B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Vollmodulares und frei konfigurierbares Linienbeleuchtungssystem </w:t>
      </w:r>
      <w:r w:rsidR="00571426" w:rsidRPr="00C15E9B">
        <w:rPr>
          <w:sz w:val="18"/>
          <w:szCs w:val="18"/>
        </w:rPr>
        <w:t xml:space="preserve">tempLED </w:t>
      </w:r>
      <w:r w:rsidR="00FE4260">
        <w:rPr>
          <w:sz w:val="18"/>
          <w:szCs w:val="18"/>
        </w:rPr>
        <w:t xml:space="preserve">RayLine </w:t>
      </w:r>
      <w:r w:rsidR="007368B8">
        <w:rPr>
          <w:sz w:val="18"/>
          <w:szCs w:val="18"/>
        </w:rPr>
        <w:t>Max</w:t>
      </w:r>
      <w:r w:rsidR="00110515">
        <w:rPr>
          <w:sz w:val="18"/>
          <w:szCs w:val="18"/>
        </w:rPr>
        <w:t xml:space="preserve"> </w:t>
      </w:r>
      <w:r w:rsidR="00FE7F83">
        <w:rPr>
          <w:sz w:val="18"/>
          <w:szCs w:val="18"/>
        </w:rPr>
        <w:t>V</w:t>
      </w:r>
      <w:r>
        <w:rPr>
          <w:sz w:val="18"/>
          <w:szCs w:val="18"/>
        </w:rPr>
        <w:t xml:space="preserve">3; initiale Farbkonsistenz: &lt; 3 SDCM; </w:t>
      </w:r>
      <w:r w:rsidRPr="00C15E9B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</w:t>
      </w:r>
      <w:r>
        <w:rPr>
          <w:sz w:val="18"/>
          <w:szCs w:val="18"/>
        </w:rPr>
        <w:t>Produktrichtlinie 2014/34/EU: T6</w:t>
      </w:r>
      <w:r w:rsidRPr="00C15E9B">
        <w:rPr>
          <w:sz w:val="18"/>
          <w:szCs w:val="18"/>
        </w:rPr>
        <w:t>; Konstantstromnetzteil</w:t>
      </w:r>
      <w:r>
        <w:rPr>
          <w:sz w:val="18"/>
          <w:szCs w:val="18"/>
        </w:rPr>
        <w:t xml:space="preserve"> mit</w:t>
      </w:r>
      <w:r w:rsidRPr="00C15E9B">
        <w:rPr>
          <w:sz w:val="18"/>
          <w:szCs w:val="18"/>
        </w:rPr>
        <w:t xml:space="preserve"> Temperaturüberwachung; Eingangsspannung: </w:t>
      </w:r>
      <w:r>
        <w:rPr>
          <w:sz w:val="18"/>
          <w:szCs w:val="18"/>
        </w:rPr>
        <w:t>AC 198 bis 240</w:t>
      </w:r>
      <w:r w:rsidRPr="00C15E9B">
        <w:rPr>
          <w:sz w:val="18"/>
          <w:szCs w:val="18"/>
        </w:rPr>
        <w:t xml:space="preserve"> Volt - 50/60 Hertz </w:t>
      </w:r>
      <w:r>
        <w:rPr>
          <w:sz w:val="18"/>
          <w:szCs w:val="18"/>
        </w:rPr>
        <w:t>/ DC 176 bis 250</w:t>
      </w:r>
      <w:r w:rsidRPr="00C15E9B">
        <w:rPr>
          <w:sz w:val="18"/>
          <w:szCs w:val="18"/>
        </w:rPr>
        <w:t xml:space="preserve"> Volt mit Überspannungssc</w:t>
      </w:r>
      <w:r>
        <w:rPr>
          <w:sz w:val="18"/>
          <w:szCs w:val="18"/>
        </w:rPr>
        <w:t>hutz; blankes Leuchtengehäuse aus Aluminiumstrangpressprofil in der Schutzart IP 44</w:t>
      </w:r>
      <w:r w:rsidRPr="00C15E9B">
        <w:rPr>
          <w:sz w:val="18"/>
          <w:szCs w:val="18"/>
        </w:rPr>
        <w:t xml:space="preserve">; </w:t>
      </w:r>
      <w:r>
        <w:rPr>
          <w:sz w:val="18"/>
          <w:szCs w:val="18"/>
        </w:rPr>
        <w:t>Schutzart IP 55 optional; Schutzklasse: I</w:t>
      </w:r>
      <w:r w:rsidRPr="005A355F">
        <w:rPr>
          <w:sz w:val="18"/>
          <w:szCs w:val="18"/>
        </w:rPr>
        <w:t xml:space="preserve">; </w:t>
      </w:r>
      <w:r w:rsidRPr="00C15E9B">
        <w:rPr>
          <w:sz w:val="18"/>
          <w:szCs w:val="18"/>
        </w:rPr>
        <w:t>einsetzbar bei Temperaturen von -4</w:t>
      </w:r>
      <w:r>
        <w:rPr>
          <w:sz w:val="18"/>
          <w:szCs w:val="18"/>
        </w:rPr>
        <w:t>0</w:t>
      </w:r>
      <w:r w:rsidRPr="00C15E9B">
        <w:rPr>
          <w:sz w:val="18"/>
          <w:szCs w:val="18"/>
        </w:rPr>
        <w:t xml:space="preserve"> bis </w:t>
      </w:r>
      <w:r w:rsidRPr="00FE4260">
        <w:rPr>
          <w:sz w:val="18"/>
          <w:szCs w:val="18"/>
        </w:rPr>
        <w:t xml:space="preserve">+50° </w:t>
      </w:r>
      <w:r w:rsidRPr="00C15E9B">
        <w:rPr>
          <w:sz w:val="18"/>
          <w:szCs w:val="18"/>
        </w:rPr>
        <w:t xml:space="preserve">Celsius; </w:t>
      </w:r>
      <w:r w:rsidRPr="00F867C6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ausführung für Umgebungstemperaturen bis </w:t>
      </w:r>
      <w:r w:rsidRPr="00F867C6">
        <w:rPr>
          <w:color w:val="FF0000"/>
          <w:sz w:val="18"/>
          <w:szCs w:val="18"/>
        </w:rPr>
        <w:t>+70°</w:t>
      </w:r>
      <w:r>
        <w:rPr>
          <w:sz w:val="18"/>
          <w:szCs w:val="18"/>
        </w:rPr>
        <w:t xml:space="preserve"> Celsius optional; </w:t>
      </w:r>
      <w:r w:rsidRPr="000A6CD1">
        <w:rPr>
          <w:sz w:val="18"/>
          <w:szCs w:val="18"/>
        </w:rPr>
        <w:t>Überhitzungsschutz;</w:t>
      </w:r>
      <w:r>
        <w:rPr>
          <w:sz w:val="18"/>
          <w:szCs w:val="18"/>
        </w:rPr>
        <w:t xml:space="preserve"> Lichtfeldabdeckung aus unterschiedlichen Lichtlenkungsoptiken nach Standard IK08; </w:t>
      </w:r>
      <w:r w:rsidR="007368B8">
        <w:rPr>
          <w:sz w:val="18"/>
          <w:szCs w:val="18"/>
        </w:rPr>
        <w:t>bis zu 14-polige</w:t>
      </w:r>
      <w:r w:rsidRPr="00672EB9">
        <w:rPr>
          <w:sz w:val="18"/>
          <w:szCs w:val="18"/>
        </w:rPr>
        <w:t xml:space="preserve"> Durchgangsverdrahtung mit Steckverbindungssystem; </w:t>
      </w:r>
      <w:r>
        <w:rPr>
          <w:sz w:val="18"/>
          <w:szCs w:val="18"/>
        </w:rPr>
        <w:t>Anfangs-, Mittelpunkt- und Endeinspeisesysteme</w:t>
      </w:r>
      <w:r w:rsidRPr="00672EB9">
        <w:rPr>
          <w:sz w:val="18"/>
          <w:szCs w:val="18"/>
        </w:rPr>
        <w:t>; 5 Jahre Garantie; 10 Jahre Ersatzteilgarantie; D-Kennzeichen; alle zentralen Bestandteile der Leuchte (Netzteil, Optik und Lichtfeld) sind modular auswechselbar oder können ergänzt werden</w:t>
      </w:r>
      <w:r w:rsidR="00D2774F">
        <w:rPr>
          <w:sz w:val="18"/>
          <w:szCs w:val="18"/>
        </w:rPr>
        <w:t xml:space="preserve">; sehr schnelle Montage vor Ort von bis zu 400 Metern Linienbeleuchtung pro Tag durch vorsortierte Anlieferung in Mehrwegverpackungssystemen; sehr große Montagepunktabstände von bis zu 5,04 Metern, flexible Montage- und Abhängesysteme. </w:t>
      </w:r>
    </w:p>
    <w:p w14:paraId="60247D62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13C46364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7E6DAEE8" w14:textId="0A52450A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Optionale Sicherheits- und Steuerungssysteme: DALI-2-Dimmung, Konstantlichtstrom (CLO), Casambi, Enlighted, Notlichtsysteme mit lokaler Akkutechnik oder zentraler Batterieanbindung </w:t>
      </w:r>
      <w:r w:rsidR="000B6CB5">
        <w:rPr>
          <w:sz w:val="18"/>
          <w:szCs w:val="18"/>
        </w:rPr>
        <w:t>sowie</w:t>
      </w:r>
      <w:r>
        <w:rPr>
          <w:sz w:val="18"/>
          <w:szCs w:val="18"/>
        </w:rPr>
        <w:t xml:space="preserve"> Bewegungs-/Tageslichtsensorsysteme.</w:t>
      </w:r>
    </w:p>
    <w:p w14:paraId="641DDE54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70F86D6F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919FBA4" w14:textId="709A8747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 Einzelbaulängen:</w:t>
      </w:r>
    </w:p>
    <w:p w14:paraId="297686F0" w14:textId="1CD6C44B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1.680 mm (maximal 1 Einzelleuchte)</w:t>
      </w:r>
    </w:p>
    <w:p w14:paraId="729A5EAD" w14:textId="2F8C994A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3.360 mm (maximal 2 Einzelleuchten)</w:t>
      </w:r>
    </w:p>
    <w:p w14:paraId="467F9239" w14:textId="6C0495CB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5.040 mm (maximal 3 Einzelleuchten)</w:t>
      </w:r>
    </w:p>
    <w:p w14:paraId="470BC844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48638834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B124F28" w14:textId="6DEA36B3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Verfügbare Farbtemperaturen und Farbwiedergabeindizes:</w:t>
      </w:r>
    </w:p>
    <w:p w14:paraId="61DE3EF9" w14:textId="2B432F4B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2.700 Kelvin | CRI &gt; 80 Ra</w:t>
      </w:r>
    </w:p>
    <w:p w14:paraId="46712286" w14:textId="6C77524B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3.000 Kelvin | CRI &gt; 80 Ra</w:t>
      </w:r>
    </w:p>
    <w:p w14:paraId="79B549CC" w14:textId="76E7BE79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4.000 Kelvin | CRI &gt; 80 Ra (Standard)</w:t>
      </w:r>
    </w:p>
    <w:p w14:paraId="4807B178" w14:textId="0ACF5071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5.000 Kelvin | CRI &gt; 80 Ra</w:t>
      </w:r>
    </w:p>
    <w:p w14:paraId="16EEC966" w14:textId="5C43D96A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6.500 Kelvin | CRI &gt; 80 Ra</w:t>
      </w:r>
    </w:p>
    <w:p w14:paraId="27A2185E" w14:textId="7E610519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4.000 Kelvin | CRI &gt; 90 Ra</w:t>
      </w:r>
    </w:p>
    <w:p w14:paraId="0239F423" w14:textId="053A88C3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5.000 Kelvin | CRI &gt; 90 Ra</w:t>
      </w:r>
    </w:p>
    <w:p w14:paraId="5BE5E731" w14:textId="77777777" w:rsidR="009335B2" w:rsidRDefault="009335B2" w:rsidP="00251CB6">
      <w:pPr>
        <w:pStyle w:val="KeinLeerraum"/>
        <w:jc w:val="both"/>
        <w:rPr>
          <w:sz w:val="18"/>
          <w:szCs w:val="18"/>
        </w:rPr>
      </w:pPr>
    </w:p>
    <w:p w14:paraId="4E5433A9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F9F7EC9" w14:textId="6EFCC4C5" w:rsidR="00672EB9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 Einzelleuchten</w:t>
      </w:r>
      <w:r w:rsidR="00672EB9">
        <w:rPr>
          <w:sz w:val="18"/>
          <w:szCs w:val="18"/>
        </w:rPr>
        <w:t>:</w:t>
      </w:r>
    </w:p>
    <w:p w14:paraId="12CF5EC9" w14:textId="0EEEF7D6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15 Watt – maximal 3.150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388AFF16" w14:textId="5C812156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25 Watt – maximal 5.000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0932EAD5" w14:textId="08570709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40 Watt – maximal 8.000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71915324" w14:textId="0ED039AC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70 Watt – maximal 13.650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62CD9E2F" w14:textId="7EC96F0D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100 Watt – maximal 18.500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2CDA6C3B" w14:textId="683ECA7B" w:rsidR="009335B2" w:rsidRPr="004F454C" w:rsidRDefault="009335B2" w:rsidP="00251CB6">
      <w:pPr>
        <w:pStyle w:val="KeinLeerraum"/>
        <w:jc w:val="both"/>
        <w:rPr>
          <w:sz w:val="12"/>
          <w:szCs w:val="12"/>
        </w:rPr>
      </w:pPr>
      <w:r w:rsidRPr="004F454C">
        <w:rPr>
          <w:sz w:val="12"/>
          <w:szCs w:val="12"/>
          <w:vertAlign w:val="superscript"/>
        </w:rPr>
        <w:t>1</w:t>
      </w:r>
      <w:r w:rsidR="00EC4A9C">
        <w:rPr>
          <w:sz w:val="12"/>
          <w:szCs w:val="12"/>
          <w:vertAlign w:val="superscript"/>
        </w:rPr>
        <w:t xml:space="preserve"> </w:t>
      </w:r>
      <w:r w:rsidRPr="004F454C">
        <w:rPr>
          <w:sz w:val="12"/>
          <w:szCs w:val="12"/>
        </w:rPr>
        <w:t xml:space="preserve">Der angegebene, maximale </w:t>
      </w:r>
      <w:r w:rsidR="00F03D4C">
        <w:rPr>
          <w:sz w:val="12"/>
          <w:szCs w:val="12"/>
        </w:rPr>
        <w:t xml:space="preserve">initiale </w:t>
      </w:r>
      <w:r w:rsidRPr="004F454C">
        <w:rPr>
          <w:sz w:val="12"/>
          <w:szCs w:val="12"/>
        </w:rPr>
        <w:t xml:space="preserve">Lumenstrom gilt in Abhängigkeit </w:t>
      </w:r>
      <w:r w:rsidR="004F454C" w:rsidRPr="004F454C">
        <w:rPr>
          <w:sz w:val="12"/>
          <w:szCs w:val="12"/>
        </w:rPr>
        <w:t xml:space="preserve">von </w:t>
      </w:r>
      <w:r w:rsidRPr="004F454C">
        <w:rPr>
          <w:sz w:val="12"/>
          <w:szCs w:val="12"/>
        </w:rPr>
        <w:t>der gewählten Farbtemperatur, dem gewählten Farbwiedergabeindex und der gewählten Lichtlenkungsoptik.</w:t>
      </w:r>
    </w:p>
    <w:p w14:paraId="1C0F60D0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5C02F556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7E94D99B" w14:textId="02D69C60" w:rsidR="00672EB9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Verfügbare</w:t>
      </w:r>
      <w:r w:rsidR="00672EB9">
        <w:rPr>
          <w:sz w:val="18"/>
          <w:szCs w:val="18"/>
        </w:rPr>
        <w:t xml:space="preserve"> Lichtlenkungsoptiken:</w:t>
      </w:r>
    </w:p>
    <w:p w14:paraId="7F13A9E6" w14:textId="0846BFDE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ASY – </w:t>
      </w:r>
      <w:r w:rsidR="009335B2" w:rsidRPr="009335B2">
        <w:rPr>
          <w:sz w:val="18"/>
          <w:szCs w:val="18"/>
        </w:rPr>
        <w:t>linksseitig ca. 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asymmetrisch tiefstrahlend</w:t>
      </w:r>
      <w:r w:rsidR="009335B2">
        <w:rPr>
          <w:sz w:val="18"/>
          <w:szCs w:val="18"/>
        </w:rPr>
        <w:t>, Kollimatortechnologie, Material: PMMA</w:t>
      </w:r>
    </w:p>
    <w:p w14:paraId="65F4AB53" w14:textId="5B95DFAE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ASY – </w:t>
      </w:r>
      <w:r w:rsidRPr="009335B2">
        <w:rPr>
          <w:sz w:val="18"/>
          <w:szCs w:val="18"/>
        </w:rPr>
        <w:t>rechtsseitig</w:t>
      </w:r>
      <w:r>
        <w:rPr>
          <w:sz w:val="18"/>
          <w:szCs w:val="18"/>
        </w:rPr>
        <w:t xml:space="preserve"> </w:t>
      </w:r>
      <w:r w:rsidRPr="009335B2">
        <w:rPr>
          <w:sz w:val="18"/>
          <w:szCs w:val="18"/>
        </w:rPr>
        <w:t>ca. 20</w:t>
      </w:r>
      <w:r>
        <w:rPr>
          <w:sz w:val="18"/>
          <w:szCs w:val="18"/>
        </w:rPr>
        <w:t xml:space="preserve"> Grad</w:t>
      </w:r>
      <w:r w:rsidRPr="009335B2">
        <w:rPr>
          <w:sz w:val="18"/>
          <w:szCs w:val="18"/>
        </w:rPr>
        <w:t xml:space="preserve"> asymmetrisch tiefstrahlend</w:t>
      </w:r>
      <w:r>
        <w:rPr>
          <w:sz w:val="18"/>
          <w:szCs w:val="18"/>
        </w:rPr>
        <w:t>, Kollimatortechnologie, Material: PMMA</w:t>
      </w:r>
    </w:p>
    <w:p w14:paraId="58D4F203" w14:textId="05D6FD83" w:rsidR="009335B2" w:rsidRDefault="009335B2" w:rsidP="00251CB6">
      <w:pPr>
        <w:pStyle w:val="KeinLeerraum"/>
        <w:jc w:val="both"/>
        <w:rPr>
          <w:sz w:val="18"/>
          <w:szCs w:val="18"/>
        </w:rPr>
      </w:pPr>
      <w:r w:rsidRPr="009335B2">
        <w:rPr>
          <w:sz w:val="18"/>
          <w:szCs w:val="18"/>
        </w:rPr>
        <w:t>BATWING –</w:t>
      </w:r>
      <w:r>
        <w:rPr>
          <w:sz w:val="18"/>
          <w:szCs w:val="18"/>
        </w:rPr>
        <w:t xml:space="preserve"> </w:t>
      </w:r>
      <w:r w:rsidRPr="009335B2">
        <w:rPr>
          <w:sz w:val="18"/>
          <w:szCs w:val="18"/>
        </w:rPr>
        <w:t>ca. 90</w:t>
      </w:r>
      <w:r>
        <w:rPr>
          <w:sz w:val="18"/>
          <w:szCs w:val="18"/>
        </w:rPr>
        <w:t xml:space="preserve"> Grad</w:t>
      </w:r>
      <w:r w:rsidRPr="009335B2">
        <w:rPr>
          <w:sz w:val="18"/>
          <w:szCs w:val="18"/>
        </w:rPr>
        <w:t xml:space="preserve"> symmetrisch breitstrahlend</w:t>
      </w:r>
      <w:r>
        <w:rPr>
          <w:sz w:val="18"/>
          <w:szCs w:val="18"/>
        </w:rPr>
        <w:t>, Kollimatortechnologie, Material: PMMA</w:t>
      </w:r>
    </w:p>
    <w:p w14:paraId="2E468779" w14:textId="2ABC34EC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DASY – </w:t>
      </w:r>
      <w:r w:rsidR="009335B2" w:rsidRPr="009335B2">
        <w:rPr>
          <w:sz w:val="18"/>
          <w:szCs w:val="18"/>
        </w:rPr>
        <w:t>beidseitig ca. 2x 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asymmetrisch tiefstrahlend</w:t>
      </w:r>
      <w:r w:rsidR="009335B2">
        <w:rPr>
          <w:sz w:val="18"/>
          <w:szCs w:val="18"/>
        </w:rPr>
        <w:t>, Kollimatortechnologie, Material: PMMA</w:t>
      </w:r>
    </w:p>
    <w:p w14:paraId="16824B04" w14:textId="2D1DFA74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INTENSE – </w:t>
      </w:r>
      <w:r w:rsidR="009335B2" w:rsidRPr="009335B2">
        <w:rPr>
          <w:sz w:val="18"/>
          <w:szCs w:val="18"/>
        </w:rPr>
        <w:t>ca. 40</w:t>
      </w:r>
      <w:r w:rsidR="00E61A96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symmetrisch tiefstrahlend</w:t>
      </w:r>
      <w:r w:rsidR="009335B2">
        <w:rPr>
          <w:sz w:val="18"/>
          <w:szCs w:val="18"/>
        </w:rPr>
        <w:t>, Kollimatortechnologie, Material: PMMA</w:t>
      </w:r>
    </w:p>
    <w:p w14:paraId="3B221C36" w14:textId="1113D71A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OPAL </w:t>
      </w:r>
      <w:r w:rsidR="009335B2">
        <w:rPr>
          <w:sz w:val="18"/>
          <w:szCs w:val="18"/>
        </w:rPr>
        <w:t xml:space="preserve">– ca. </w:t>
      </w:r>
      <w:r w:rsidR="000B6CB5">
        <w:rPr>
          <w:sz w:val="18"/>
          <w:szCs w:val="18"/>
        </w:rPr>
        <w:t>1</w:t>
      </w:r>
      <w:r w:rsidR="009335B2" w:rsidRPr="009335B2">
        <w:rPr>
          <w:sz w:val="18"/>
          <w:szCs w:val="18"/>
        </w:rPr>
        <w:t>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symmetrisch diffus strahlend</w:t>
      </w:r>
      <w:r w:rsidR="009335B2">
        <w:rPr>
          <w:sz w:val="18"/>
          <w:szCs w:val="18"/>
        </w:rPr>
        <w:t>, Material: Polycarbonat, erfüllt die DIN 10500 (HACCP / IFS)</w:t>
      </w:r>
    </w:p>
    <w:p w14:paraId="2B999F1D" w14:textId="77777777" w:rsidR="005E391D" w:rsidRPr="005E391D" w:rsidRDefault="005E391D" w:rsidP="005E391D">
      <w:pPr>
        <w:pStyle w:val="KeinLeerraum"/>
        <w:rPr>
          <w:sz w:val="18"/>
          <w:szCs w:val="18"/>
        </w:rPr>
      </w:pPr>
    </w:p>
    <w:sectPr w:rsidR="005E391D" w:rsidRPr="005E391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1A9D" w14:textId="77777777" w:rsidR="000B2977" w:rsidRDefault="000B2977" w:rsidP="00724B59">
      <w:pPr>
        <w:spacing w:after="0" w:line="240" w:lineRule="auto"/>
      </w:pPr>
      <w:r>
        <w:separator/>
      </w:r>
    </w:p>
  </w:endnote>
  <w:endnote w:type="continuationSeparator" w:id="0">
    <w:p w14:paraId="2A0C5F3A" w14:textId="77777777" w:rsidR="000B2977" w:rsidRDefault="000B2977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24D9" w14:textId="4CA8990E" w:rsidR="002350BE" w:rsidRDefault="002350BE" w:rsidP="002350BE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367B97">
      <w:rPr>
        <w:rFonts w:ascii="Arial" w:hAnsi="Arial" w:cs="Arial"/>
        <w:color w:val="231F20"/>
        <w:sz w:val="18"/>
        <w:szCs w:val="18"/>
      </w:rPr>
      <w:t>Kaiserreich</w:t>
    </w:r>
    <w:r w:rsidR="005E0B54">
      <w:rPr>
        <w:rFonts w:ascii="Arial" w:hAnsi="Arial" w:cs="Arial"/>
        <w:color w:val="231F20"/>
        <w:sz w:val="18"/>
        <w:szCs w:val="18"/>
      </w:rPr>
      <w:t xml:space="preserve"> Straße</w:t>
    </w:r>
    <w:r w:rsidR="00367B97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7ED076DD" w14:textId="77777777" w:rsidR="00724B59" w:rsidRPr="002350BE" w:rsidRDefault="00724B59" w:rsidP="00235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9C4F" w14:textId="77777777" w:rsidR="000B2977" w:rsidRDefault="000B2977" w:rsidP="00724B59">
      <w:pPr>
        <w:spacing w:after="0" w:line="240" w:lineRule="auto"/>
      </w:pPr>
      <w:r>
        <w:separator/>
      </w:r>
    </w:p>
  </w:footnote>
  <w:footnote w:type="continuationSeparator" w:id="0">
    <w:p w14:paraId="2D9279B8" w14:textId="77777777" w:rsidR="000B2977" w:rsidRDefault="000B2977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7"/>
      <w:gridCol w:w="3385"/>
    </w:tblGrid>
    <w:tr w:rsidR="00724B59" w14:paraId="6DFBACE3" w14:textId="77777777" w:rsidTr="00712C68">
      <w:tc>
        <w:tcPr>
          <w:tcW w:w="5778" w:type="dxa"/>
        </w:tcPr>
        <w:p w14:paraId="0A9F3831" w14:textId="77777777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tempLED GmbH</w:t>
          </w:r>
        </w:p>
        <w:p w14:paraId="193B60A8" w14:textId="0444FC3A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Ausschreibungstext</w:t>
          </w:r>
          <w:r w:rsidR="0024725D">
            <w:rPr>
              <w:rFonts w:cs="Arial"/>
            </w:rPr>
            <w:t>e</w:t>
          </w:r>
          <w:r w:rsidR="00FE4260">
            <w:rPr>
              <w:rFonts w:cs="Arial"/>
            </w:rPr>
            <w:t xml:space="preserve"> RayLine</w:t>
          </w:r>
          <w:r w:rsidR="00B91F7F">
            <w:rPr>
              <w:rFonts w:cs="Arial"/>
            </w:rPr>
            <w:t xml:space="preserve"> </w:t>
          </w:r>
          <w:r w:rsidR="007368B8">
            <w:rPr>
              <w:rFonts w:cs="Arial"/>
            </w:rPr>
            <w:t>Max</w:t>
          </w:r>
          <w:r w:rsidR="00110515">
            <w:rPr>
              <w:rFonts w:cs="Arial"/>
            </w:rPr>
            <w:t xml:space="preserve"> </w:t>
          </w:r>
          <w:r w:rsidR="00FE7F83">
            <w:rPr>
              <w:rFonts w:cs="Arial"/>
            </w:rPr>
            <w:t>V</w:t>
          </w:r>
          <w:r w:rsidR="00672EB9">
            <w:rPr>
              <w:rFonts w:cs="Arial"/>
            </w:rPr>
            <w:t>3</w:t>
          </w:r>
          <w:r w:rsidR="00FE7F83">
            <w:rPr>
              <w:rFonts w:cs="Arial"/>
            </w:rPr>
            <w:t xml:space="preserve"> </w:t>
          </w:r>
          <w:r w:rsidR="00945BC0">
            <w:rPr>
              <w:rFonts w:cs="Arial"/>
            </w:rPr>
            <w:t>deutsch</w:t>
          </w:r>
        </w:p>
        <w:p w14:paraId="15F7D0FE" w14:textId="32A3D6E1" w:rsidR="00104DB6" w:rsidRPr="00104DB6" w:rsidRDefault="00AE5955" w:rsidP="00C15E9B">
          <w:pPr>
            <w:pStyle w:val="Kopfzeile"/>
          </w:pPr>
          <w:r w:rsidRPr="0024725D">
            <w:rPr>
              <w:rFonts w:cs="Arial"/>
            </w:rPr>
            <w:t xml:space="preserve">Stand: </w:t>
          </w:r>
          <w:r w:rsidR="00672EB9">
            <w:rPr>
              <w:rFonts w:cs="Arial"/>
            </w:rPr>
            <w:t>März</w:t>
          </w:r>
          <w:r w:rsidR="00367B97">
            <w:rPr>
              <w:rFonts w:cs="Arial"/>
            </w:rPr>
            <w:t xml:space="preserve"> 202</w:t>
          </w:r>
          <w:r w:rsidR="00672EB9">
            <w:rPr>
              <w:rFonts w:cs="Arial"/>
            </w:rPr>
            <w:t>5</w:t>
          </w:r>
        </w:p>
      </w:tc>
      <w:tc>
        <w:tcPr>
          <w:tcW w:w="3434" w:type="dxa"/>
          <w:vAlign w:val="center"/>
        </w:tcPr>
        <w:p w14:paraId="5F197072" w14:textId="77777777" w:rsidR="00724B59" w:rsidRDefault="00724B59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651240E" wp14:editId="21E11191">
                <wp:extent cx="788889" cy="409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23" cy="41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247ABF" w14:textId="77777777" w:rsidR="00724B59" w:rsidRDefault="00724B59" w:rsidP="00FE4260">
    <w:pPr>
      <w:pStyle w:val="Kopfzeile"/>
      <w:tabs>
        <w:tab w:val="clear" w:pos="4536"/>
        <w:tab w:val="clear" w:pos="9072"/>
        <w:tab w:val="left" w:pos="21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9"/>
    <w:rsid w:val="00010CF7"/>
    <w:rsid w:val="00042CDD"/>
    <w:rsid w:val="00054B1D"/>
    <w:rsid w:val="00065811"/>
    <w:rsid w:val="000978BE"/>
    <w:rsid w:val="000A2110"/>
    <w:rsid w:val="000A5BBC"/>
    <w:rsid w:val="000A6CD1"/>
    <w:rsid w:val="000B2948"/>
    <w:rsid w:val="000B2977"/>
    <w:rsid w:val="000B6B51"/>
    <w:rsid w:val="000B6CB5"/>
    <w:rsid w:val="000E5C51"/>
    <w:rsid w:val="00104DB6"/>
    <w:rsid w:val="00110515"/>
    <w:rsid w:val="00140B77"/>
    <w:rsid w:val="001459C5"/>
    <w:rsid w:val="00160539"/>
    <w:rsid w:val="00184BA5"/>
    <w:rsid w:val="001907DD"/>
    <w:rsid w:val="001938E9"/>
    <w:rsid w:val="001A6989"/>
    <w:rsid w:val="001C1D80"/>
    <w:rsid w:val="001E0874"/>
    <w:rsid w:val="002173A5"/>
    <w:rsid w:val="002350BE"/>
    <w:rsid w:val="00235943"/>
    <w:rsid w:val="00237956"/>
    <w:rsid w:val="0024412C"/>
    <w:rsid w:val="0024725D"/>
    <w:rsid w:val="00251CB6"/>
    <w:rsid w:val="002533B2"/>
    <w:rsid w:val="00260973"/>
    <w:rsid w:val="00275EF3"/>
    <w:rsid w:val="002B0D8D"/>
    <w:rsid w:val="002E01F2"/>
    <w:rsid w:val="002E04FC"/>
    <w:rsid w:val="002E4630"/>
    <w:rsid w:val="002E6471"/>
    <w:rsid w:val="002F32BA"/>
    <w:rsid w:val="002F6575"/>
    <w:rsid w:val="00325606"/>
    <w:rsid w:val="0033069C"/>
    <w:rsid w:val="00352F76"/>
    <w:rsid w:val="003666A1"/>
    <w:rsid w:val="00367B97"/>
    <w:rsid w:val="00372BEC"/>
    <w:rsid w:val="003C7B24"/>
    <w:rsid w:val="003D1BE5"/>
    <w:rsid w:val="003D38B2"/>
    <w:rsid w:val="003F798E"/>
    <w:rsid w:val="00412675"/>
    <w:rsid w:val="00423E42"/>
    <w:rsid w:val="00424E27"/>
    <w:rsid w:val="00477B59"/>
    <w:rsid w:val="00480480"/>
    <w:rsid w:val="004A07BB"/>
    <w:rsid w:val="004A347F"/>
    <w:rsid w:val="004A5BA7"/>
    <w:rsid w:val="004C0EC2"/>
    <w:rsid w:val="004F454C"/>
    <w:rsid w:val="00525EB8"/>
    <w:rsid w:val="0053561D"/>
    <w:rsid w:val="0054657D"/>
    <w:rsid w:val="00557772"/>
    <w:rsid w:val="00571426"/>
    <w:rsid w:val="0057287D"/>
    <w:rsid w:val="005825E3"/>
    <w:rsid w:val="005A355F"/>
    <w:rsid w:val="005B44F2"/>
    <w:rsid w:val="005D1E03"/>
    <w:rsid w:val="005E0B54"/>
    <w:rsid w:val="005E391D"/>
    <w:rsid w:val="005E48EE"/>
    <w:rsid w:val="005F2539"/>
    <w:rsid w:val="005F3C15"/>
    <w:rsid w:val="005F5716"/>
    <w:rsid w:val="006022FD"/>
    <w:rsid w:val="00604D31"/>
    <w:rsid w:val="00605EE4"/>
    <w:rsid w:val="00632938"/>
    <w:rsid w:val="006336FC"/>
    <w:rsid w:val="00636AA6"/>
    <w:rsid w:val="006606C6"/>
    <w:rsid w:val="00665D8E"/>
    <w:rsid w:val="00672EB9"/>
    <w:rsid w:val="006932B7"/>
    <w:rsid w:val="006935E3"/>
    <w:rsid w:val="00693EC1"/>
    <w:rsid w:val="006A263F"/>
    <w:rsid w:val="006B0810"/>
    <w:rsid w:val="006B1C20"/>
    <w:rsid w:val="006B41C3"/>
    <w:rsid w:val="006B4C6A"/>
    <w:rsid w:val="006B6C34"/>
    <w:rsid w:val="006C1DD7"/>
    <w:rsid w:val="006C2C4B"/>
    <w:rsid w:val="006D063C"/>
    <w:rsid w:val="006E0317"/>
    <w:rsid w:val="00712C68"/>
    <w:rsid w:val="0071505C"/>
    <w:rsid w:val="00715F04"/>
    <w:rsid w:val="00724B59"/>
    <w:rsid w:val="007251A9"/>
    <w:rsid w:val="007368B8"/>
    <w:rsid w:val="007404E1"/>
    <w:rsid w:val="00743D19"/>
    <w:rsid w:val="0076665E"/>
    <w:rsid w:val="00783AF7"/>
    <w:rsid w:val="00795879"/>
    <w:rsid w:val="007B68C3"/>
    <w:rsid w:val="007C0A5F"/>
    <w:rsid w:val="007E6745"/>
    <w:rsid w:val="007E6DE5"/>
    <w:rsid w:val="0084305C"/>
    <w:rsid w:val="00847E66"/>
    <w:rsid w:val="0089132C"/>
    <w:rsid w:val="009258D1"/>
    <w:rsid w:val="009335B2"/>
    <w:rsid w:val="00945BC0"/>
    <w:rsid w:val="00962C39"/>
    <w:rsid w:val="00965120"/>
    <w:rsid w:val="009676E5"/>
    <w:rsid w:val="00971EAC"/>
    <w:rsid w:val="00982464"/>
    <w:rsid w:val="009B120F"/>
    <w:rsid w:val="009E5CD7"/>
    <w:rsid w:val="00A14FE4"/>
    <w:rsid w:val="00A2680D"/>
    <w:rsid w:val="00A5106D"/>
    <w:rsid w:val="00A85332"/>
    <w:rsid w:val="00A9163E"/>
    <w:rsid w:val="00A9529E"/>
    <w:rsid w:val="00AC0839"/>
    <w:rsid w:val="00AC4CCB"/>
    <w:rsid w:val="00AD04E8"/>
    <w:rsid w:val="00AD618C"/>
    <w:rsid w:val="00AE5955"/>
    <w:rsid w:val="00AF631D"/>
    <w:rsid w:val="00B003B5"/>
    <w:rsid w:val="00B202B9"/>
    <w:rsid w:val="00B546EA"/>
    <w:rsid w:val="00B55927"/>
    <w:rsid w:val="00B55F46"/>
    <w:rsid w:val="00B73DB1"/>
    <w:rsid w:val="00B76A7C"/>
    <w:rsid w:val="00B81290"/>
    <w:rsid w:val="00B83AB0"/>
    <w:rsid w:val="00B91F7F"/>
    <w:rsid w:val="00B94DED"/>
    <w:rsid w:val="00BA1B62"/>
    <w:rsid w:val="00BA617E"/>
    <w:rsid w:val="00BA69F1"/>
    <w:rsid w:val="00BB30D2"/>
    <w:rsid w:val="00BD0A24"/>
    <w:rsid w:val="00C06E36"/>
    <w:rsid w:val="00C15E9B"/>
    <w:rsid w:val="00C43919"/>
    <w:rsid w:val="00C544C7"/>
    <w:rsid w:val="00C76B0B"/>
    <w:rsid w:val="00C85BDC"/>
    <w:rsid w:val="00CB1F7D"/>
    <w:rsid w:val="00CD66CF"/>
    <w:rsid w:val="00D119C1"/>
    <w:rsid w:val="00D26A43"/>
    <w:rsid w:val="00D2774F"/>
    <w:rsid w:val="00D438D2"/>
    <w:rsid w:val="00D45FED"/>
    <w:rsid w:val="00D46BCD"/>
    <w:rsid w:val="00D5704D"/>
    <w:rsid w:val="00D6284E"/>
    <w:rsid w:val="00D838A4"/>
    <w:rsid w:val="00D8471E"/>
    <w:rsid w:val="00DB37C6"/>
    <w:rsid w:val="00DD0F70"/>
    <w:rsid w:val="00DE0FA7"/>
    <w:rsid w:val="00E071E5"/>
    <w:rsid w:val="00E20134"/>
    <w:rsid w:val="00E36B93"/>
    <w:rsid w:val="00E61A96"/>
    <w:rsid w:val="00E819FC"/>
    <w:rsid w:val="00E87D6C"/>
    <w:rsid w:val="00E94094"/>
    <w:rsid w:val="00EC4A9C"/>
    <w:rsid w:val="00ED259C"/>
    <w:rsid w:val="00ED48A0"/>
    <w:rsid w:val="00EE2AC8"/>
    <w:rsid w:val="00EF47E0"/>
    <w:rsid w:val="00F03D4C"/>
    <w:rsid w:val="00F10D0F"/>
    <w:rsid w:val="00F1462D"/>
    <w:rsid w:val="00F211E9"/>
    <w:rsid w:val="00F36C0C"/>
    <w:rsid w:val="00F42801"/>
    <w:rsid w:val="00F476CE"/>
    <w:rsid w:val="00F5014C"/>
    <w:rsid w:val="00F52E60"/>
    <w:rsid w:val="00F56C29"/>
    <w:rsid w:val="00F60E21"/>
    <w:rsid w:val="00F668E7"/>
    <w:rsid w:val="00F7219D"/>
    <w:rsid w:val="00F8186F"/>
    <w:rsid w:val="00F867C6"/>
    <w:rsid w:val="00FA1547"/>
    <w:rsid w:val="00FA2F99"/>
    <w:rsid w:val="00FA545B"/>
    <w:rsid w:val="00FA5FD9"/>
    <w:rsid w:val="00FB0146"/>
    <w:rsid w:val="00FC1324"/>
    <w:rsid w:val="00FD23F2"/>
    <w:rsid w:val="00FE4260"/>
    <w:rsid w:val="00FE7F8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924E"/>
  <w15:docId w15:val="{0B9D75A8-47BE-43B7-AFBC-BF69D27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269AC8B5CD945AA1F6226B34BACB4" ma:contentTypeVersion="5" ma:contentTypeDescription="Ein neues Dokument erstellen." ma:contentTypeScope="" ma:versionID="73f2bfc0dadbcc5b340568d015a23e70">
  <xsd:schema xmlns:xsd="http://www.w3.org/2001/XMLSchema" xmlns:xs="http://www.w3.org/2001/XMLSchema" xmlns:p="http://schemas.microsoft.com/office/2006/metadata/properties" xmlns:ns3="6666e510-d60b-4a3d-95c5-e9a898d4ef04" xmlns:ns4="c4fb033d-93ea-4c76-b6f2-0332e29e1fca" targetNamespace="http://schemas.microsoft.com/office/2006/metadata/properties" ma:root="true" ma:fieldsID="ba83a56ce1c6468774b5735679d9e763" ns3:_="" ns4:_="">
    <xsd:import namespace="6666e510-d60b-4a3d-95c5-e9a898d4ef04"/>
    <xsd:import namespace="c4fb033d-93ea-4c76-b6f2-0332e29e1f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e510-d60b-4a3d-95c5-e9a898d4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033d-93ea-4c76-b6f2-0332e29e1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25B1-6FB3-44E2-A17A-E093BA0A8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5FAAD-E7F7-4419-93FD-D64BCB133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8BB05-B331-4D54-91EC-EF3E8D028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2C3DF-B233-4C70-839B-BF4ABF56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e510-d60b-4a3d-95c5-e9a898d4ef04"/>
    <ds:schemaRef ds:uri="c4fb033d-93ea-4c76-b6f2-0332e29e1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 Theimer | tempLED</cp:lastModifiedBy>
  <cp:revision>9</cp:revision>
  <dcterms:created xsi:type="dcterms:W3CDTF">2025-02-26T12:42:00Z</dcterms:created>
  <dcterms:modified xsi:type="dcterms:W3CDTF">2025-03-03T15:17:00Z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0x010100335269AC8B5CD945AA1F6226B34BACB4</vt:lpwstr>
  </property>
</Properties>
</file>